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Alberta’s Fossil Heritage (Chapter 2)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Learning Outcomes: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Appreciate the diversity of elements pertaining to geography, climate, geology and paleontology in Alberta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Appreciate how Alberta’s fossil heritage contributes to the provinces’ unique character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Assignment: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we read through chapter 2 together and in small groups, you will be creating a Graffiti Poster to help record your information.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As you go, you will be asked to record the following information: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Vocabulary Words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3562350</wp:posOffset>
            </wp:positionH>
            <wp:positionV relativeFrom="paragraph">
              <wp:posOffset>76200</wp:posOffset>
            </wp:positionV>
            <wp:extent cx="2857500" cy="1600200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Fossils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Paleontologists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Iinisskimm (pronounced In-nis-kim)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Fossil fuels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2.  Point form notes on: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fossils tell us about Alberta? (p. 48 &amp;49)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do fossils come from? (p. 50)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Where are fossils found in Alberta? (p. 52)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Joseph Tyrell’s big find? (p. 54)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are fossils protected? (p. 58)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dinosaur provincial park? (p. 59)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Royal Tyrrell Museum (p. 61)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Fossil Fuels? (p. 62)  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  <w:t xml:space="preserve">3. Hand drawn pictures, to show your learning! Any questions you have? </w:t>
      </w:r>
    </w:p>
    <w:p w:rsidR="00000000" w:rsidDel="00000000" w:rsidP="00000000" w:rsidRDefault="00000000" w:rsidRPr="00000000">
      <w:pPr>
        <w:ind w:left="3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Marking Guide: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Excellent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 Yet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a comprehensive understanding of learner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a thorough understanding of learner outcomes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Demonstrates an understanding of learning outcomes at grade level with some 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not demonstrating an understanding of learner outcomes at grade level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22nd at 1pm we will be VIDEOCONFERENCING with Royal Tyrrell Museum!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1013486</wp:posOffset>
            </wp:positionH>
            <wp:positionV relativeFrom="paragraph">
              <wp:posOffset>95250</wp:posOffset>
            </wp:positionV>
            <wp:extent cx="985838" cy="98583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4.png"/></Relationships>
</file>